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DC" w:rsidRDefault="00872FDC" w:rsidP="00872FDC">
      <w:pPr>
        <w:pStyle w:val="Nzev"/>
      </w:pPr>
      <w:r>
        <w:t xml:space="preserve">ETICKÝ KODEX </w:t>
      </w:r>
    </w:p>
    <w:p w:rsidR="00872FDC" w:rsidRDefault="00872FDC" w:rsidP="00872FDC">
      <w:pPr>
        <w:pStyle w:val="Default"/>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5374"/>
      </w:tblGrid>
      <w:tr w:rsidR="00872FDC" w:rsidRPr="00B35CA5" w:rsidTr="006E2F8D">
        <w:trPr>
          <w:trHeight w:val="556"/>
        </w:trPr>
        <w:tc>
          <w:tcPr>
            <w:tcW w:w="3914" w:type="dxa"/>
            <w:shd w:val="clear" w:color="auto" w:fill="auto"/>
          </w:tcPr>
          <w:p w:rsidR="00872FDC" w:rsidRPr="00B35CA5" w:rsidRDefault="00872FDC" w:rsidP="00BF5184">
            <w:pPr>
              <w:spacing w:after="0"/>
              <w:rPr>
                <w:rFonts w:cs="Calibri"/>
                <w:b/>
                <w:color w:val="000000"/>
              </w:rPr>
            </w:pPr>
            <w:r w:rsidRPr="00B35CA5">
              <w:rPr>
                <w:rFonts w:cs="Calibri"/>
                <w:b/>
                <w:color w:val="000000"/>
              </w:rPr>
              <w:t>Název Výzvy</w:t>
            </w:r>
          </w:p>
        </w:tc>
        <w:tc>
          <w:tcPr>
            <w:tcW w:w="5374" w:type="dxa"/>
            <w:shd w:val="clear" w:color="auto" w:fill="auto"/>
          </w:tcPr>
          <w:p w:rsidR="00872FDC" w:rsidRPr="00B35CA5" w:rsidRDefault="00872FDC" w:rsidP="00BF5184">
            <w:pPr>
              <w:spacing w:after="0"/>
              <w:rPr>
                <w:rFonts w:cs="Calibri"/>
                <w:b/>
                <w:color w:val="000000"/>
              </w:rPr>
            </w:pPr>
          </w:p>
        </w:tc>
      </w:tr>
      <w:tr w:rsidR="00872FDC" w:rsidRPr="00B35CA5" w:rsidTr="00BF5184">
        <w:tc>
          <w:tcPr>
            <w:tcW w:w="3914" w:type="dxa"/>
            <w:vMerge w:val="restart"/>
            <w:shd w:val="clear" w:color="auto" w:fill="auto"/>
          </w:tcPr>
          <w:p w:rsidR="00872FDC" w:rsidRPr="00B35CA5" w:rsidRDefault="00872FDC" w:rsidP="00BF5184">
            <w:pPr>
              <w:spacing w:after="0"/>
              <w:rPr>
                <w:rFonts w:cs="Calibri"/>
                <w:color w:val="000000"/>
              </w:rPr>
            </w:pPr>
            <w:r w:rsidRPr="00B35CA5">
              <w:rPr>
                <w:rFonts w:cs="Calibri"/>
                <w:color w:val="000000"/>
              </w:rPr>
              <w:t xml:space="preserve">Projekty: </w:t>
            </w:r>
          </w:p>
        </w:tc>
        <w:tc>
          <w:tcPr>
            <w:tcW w:w="5374" w:type="dxa"/>
            <w:shd w:val="clear" w:color="auto" w:fill="auto"/>
          </w:tcPr>
          <w:p w:rsidR="00872FDC" w:rsidRPr="00B35CA5" w:rsidRDefault="00872FDC" w:rsidP="00BF5184">
            <w:pPr>
              <w:spacing w:after="0"/>
              <w:rPr>
                <w:rFonts w:cs="Calibri"/>
                <w:color w:val="000000"/>
              </w:rPr>
            </w:pPr>
          </w:p>
        </w:tc>
      </w:tr>
      <w:tr w:rsidR="00872FDC" w:rsidRPr="00B35CA5" w:rsidTr="00BF5184">
        <w:tc>
          <w:tcPr>
            <w:tcW w:w="3914" w:type="dxa"/>
            <w:vMerge/>
            <w:shd w:val="clear" w:color="auto" w:fill="auto"/>
          </w:tcPr>
          <w:p w:rsidR="00872FDC" w:rsidRPr="00B35CA5" w:rsidRDefault="00872FDC" w:rsidP="00BF5184">
            <w:pPr>
              <w:spacing w:after="0"/>
              <w:rPr>
                <w:rFonts w:cs="Calibri"/>
                <w:color w:val="000000"/>
              </w:rPr>
            </w:pPr>
          </w:p>
        </w:tc>
        <w:tc>
          <w:tcPr>
            <w:tcW w:w="5374" w:type="dxa"/>
            <w:shd w:val="clear" w:color="auto" w:fill="auto"/>
          </w:tcPr>
          <w:p w:rsidR="00872FDC" w:rsidRPr="00B35CA5" w:rsidRDefault="00872FDC" w:rsidP="00BF5184">
            <w:pPr>
              <w:spacing w:after="0"/>
              <w:rPr>
                <w:rFonts w:cs="Calibri"/>
                <w:color w:val="000000"/>
              </w:rPr>
            </w:pPr>
          </w:p>
        </w:tc>
      </w:tr>
      <w:tr w:rsidR="00872FDC" w:rsidRPr="00B35CA5" w:rsidTr="00BF5184">
        <w:tc>
          <w:tcPr>
            <w:tcW w:w="3914" w:type="dxa"/>
            <w:shd w:val="clear" w:color="auto" w:fill="auto"/>
          </w:tcPr>
          <w:p w:rsidR="00872FDC" w:rsidRPr="00B35CA5" w:rsidRDefault="00872FDC" w:rsidP="00BF5184">
            <w:pPr>
              <w:spacing w:after="0"/>
              <w:rPr>
                <w:rFonts w:cs="Calibri"/>
                <w:color w:val="000000"/>
              </w:rPr>
            </w:pPr>
            <w:r w:rsidRPr="00B35CA5">
              <w:rPr>
                <w:rFonts w:cs="Calibri"/>
                <w:color w:val="000000"/>
              </w:rPr>
              <w:t>Název funkce/pozice v MAS:</w:t>
            </w:r>
          </w:p>
        </w:tc>
        <w:tc>
          <w:tcPr>
            <w:tcW w:w="5374" w:type="dxa"/>
            <w:shd w:val="clear" w:color="auto" w:fill="auto"/>
          </w:tcPr>
          <w:p w:rsidR="00872FDC" w:rsidRPr="00B35CA5" w:rsidRDefault="00872FDC" w:rsidP="00BF5184">
            <w:pPr>
              <w:spacing w:after="0"/>
              <w:rPr>
                <w:rFonts w:cs="Calibri"/>
                <w:color w:val="000000"/>
              </w:rPr>
            </w:pPr>
          </w:p>
        </w:tc>
      </w:tr>
    </w:tbl>
    <w:p w:rsidR="00872FDC" w:rsidRDefault="00872FDC" w:rsidP="00872FDC">
      <w:pPr>
        <w:pStyle w:val="Default"/>
        <w:rPr>
          <w:b/>
          <w:bCs/>
          <w:sz w:val="22"/>
          <w:szCs w:val="22"/>
        </w:rPr>
      </w:pPr>
    </w:p>
    <w:p w:rsidR="00872FDC" w:rsidRPr="00872FDC" w:rsidRDefault="00872FDC" w:rsidP="00872FDC">
      <w:pPr>
        <w:pStyle w:val="Nadpis2"/>
        <w:jc w:val="both"/>
      </w:pPr>
      <w:r w:rsidRPr="00872FDC">
        <w:rPr>
          <w:rFonts w:ascii="Cambria" w:hAnsi="Cambria"/>
          <w:b w:val="0"/>
        </w:rPr>
        <w:sym w:font="Wingdings" w:char="F071"/>
      </w:r>
      <w:r w:rsidRPr="00872FDC">
        <w:rPr>
          <w:rFonts w:ascii="Cambria" w:hAnsi="Cambria"/>
          <w:b w:val="0"/>
        </w:rPr>
        <w:t xml:space="preserve"> </w:t>
      </w:r>
      <w:r w:rsidRPr="00872FDC">
        <w:t xml:space="preserve">Etický kodex </w:t>
      </w:r>
      <w:r w:rsidRPr="00872FDC">
        <w:t>osoby podílející se na hodnocení či výběru žádostí o podporu</w:t>
      </w:r>
      <w:r w:rsidRPr="00872FDC">
        <w:rPr>
          <w:rStyle w:val="Znakapoznpodarou"/>
        </w:rPr>
        <w:footnoteReference w:id="1"/>
      </w:r>
      <w:r w:rsidRPr="00872FDC">
        <w:t>,</w:t>
      </w:r>
      <w:r w:rsidRPr="00872FDC">
        <w:t xml:space="preserve"> </w:t>
      </w:r>
      <w:r w:rsidRPr="00872FDC">
        <w:t xml:space="preserve">předložených na základě výzvy MAS </w:t>
      </w:r>
      <w:r w:rsidRPr="00872FDC">
        <w:t xml:space="preserve">Cínovecko, o. p. s. v rámci </w:t>
      </w:r>
      <w:r w:rsidRPr="00872FDC">
        <w:t>SCLLD MAS</w:t>
      </w:r>
      <w:r w:rsidRPr="00872FDC">
        <w:t xml:space="preserve"> Cínovecko, o. p. s. </w:t>
      </w:r>
      <w:r w:rsidRPr="00872FDC">
        <w:t xml:space="preserve">pro období 2014 - 2020 </w:t>
      </w:r>
    </w:p>
    <w:p w:rsidR="00872FDC" w:rsidRPr="00872FDC" w:rsidRDefault="00872FDC" w:rsidP="00872FDC">
      <w:pPr>
        <w:pStyle w:val="Nadpis2"/>
        <w:jc w:val="both"/>
      </w:pPr>
      <w:r w:rsidRPr="00872FDC">
        <w:rPr>
          <w:rFonts w:ascii="Cambria" w:hAnsi="Cambria"/>
          <w:b w:val="0"/>
        </w:rPr>
        <w:sym w:font="Wingdings" w:char="F071"/>
      </w:r>
      <w:r>
        <w:rPr>
          <w:rFonts w:ascii="Cambria" w:hAnsi="Cambria"/>
          <w:b w:val="0"/>
        </w:rPr>
        <w:t xml:space="preserve"> </w:t>
      </w:r>
      <w:r>
        <w:rPr>
          <w:rFonts w:ascii="Cambria" w:hAnsi="Cambria"/>
          <w:b w:val="0"/>
        </w:rPr>
        <w:t xml:space="preserve"> </w:t>
      </w:r>
      <w:r>
        <w:t xml:space="preserve">Etický kodex osoby podílející se na přezkumu hodnocení žádostí o podporu </w:t>
      </w:r>
      <w:r>
        <w:t xml:space="preserve">předložených </w:t>
      </w:r>
      <w:r>
        <w:t xml:space="preserve">na základě </w:t>
      </w:r>
      <w:r>
        <w:t>výzvy MAS Cínovecko, o. p. s. v rámci SCLLD MAS SERVISO pro období 2014 - 2020</w:t>
      </w:r>
    </w:p>
    <w:p w:rsidR="00872FDC" w:rsidRDefault="00872FDC" w:rsidP="00872FDC">
      <w:pPr>
        <w:pStyle w:val="Default"/>
        <w:rPr>
          <w:sz w:val="22"/>
          <w:szCs w:val="22"/>
        </w:rPr>
      </w:pPr>
    </w:p>
    <w:p w:rsidR="00872FDC" w:rsidRDefault="00872FDC" w:rsidP="00872FDC">
      <w:pPr>
        <w:jc w:val="both"/>
      </w:pPr>
      <w:r>
        <w:t xml:space="preserve">Já, jakožto osoba zapojená do hodnocení a výběru (dále jen „hodnotitel“) žádostí o podporu z Integrovaného regionálního operačního programu (dále jen „IROP“), z Operačního programu Zaměstnanost (dále jen „OPZ“), Programu rozvoje venkova (dále jen „PRV“) a Operačního programu Životní prostředí (dále jen „OPŽP“), přijímám následující ustanovení (dále také „Etický kodex“). </w:t>
      </w:r>
    </w:p>
    <w:p w:rsidR="00872FDC" w:rsidRDefault="00872FDC" w:rsidP="00872FDC">
      <w:pPr>
        <w:jc w:val="both"/>
      </w:pPr>
      <w:r>
        <w:t xml:space="preserve">1. Hodnotitel je povinen dodržovat právní řád České republiky a respektovat ústavní pořádek. Při plnění svých povinností slouží hodnotitel veřejnému prospěchu a zdrží se jednání, které by ohrozilo důvěryhodnost procesu výběru projektů. Hodnotitel poskytuje veškeré relevantní informace související s hodnotitelskou činností bez zbytečného prodlení. </w:t>
      </w:r>
    </w:p>
    <w:p w:rsidR="00872FDC" w:rsidRDefault="00872FDC" w:rsidP="00872FDC">
      <w:pPr>
        <w:jc w:val="both"/>
      </w:pPr>
      <w:r>
        <w:t xml:space="preserve">2. Hodnotitel se zdrží takového jednání, které by vedlo ke střetu veřejného zájmu s jeho zájmem osobním, tj. jedná </w:t>
      </w:r>
      <w:proofErr w:type="spellStart"/>
      <w:r>
        <w:t>nepodjatě</w:t>
      </w:r>
      <w:proofErr w:type="spellEnd"/>
      <w:r>
        <w:t xml:space="preserve">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 </w:t>
      </w:r>
    </w:p>
    <w:p w:rsidR="00872FDC" w:rsidRDefault="00872FDC" w:rsidP="00872FDC">
      <w:pPr>
        <w:jc w:val="both"/>
      </w:pPr>
      <w:r>
        <w:t xml:space="preserve">3. Hodnotitel nevyužívá informace související s jeho činností v rámci implementace IROP/OPZ/PRV/OPŽP pro svůj osobní zájem či v zájmu třetí osoby. Hodnotitel musí zachovat mlčenlivost o všech okolnostech, o kterých se v průběhu výkonu hodnocení dozvěděl. </w:t>
      </w:r>
    </w:p>
    <w:p w:rsidR="00872FDC" w:rsidRDefault="00872FDC" w:rsidP="006E2F8D">
      <w:pPr>
        <w:jc w:val="both"/>
      </w:pPr>
      <w:r>
        <w:t>4. V případě, že má hodnotitel osobní zájem na projektu, kterým se má zabývat</w:t>
      </w:r>
      <w:r w:rsidR="006E2F8D">
        <w:t>,</w:t>
      </w:r>
      <w:r>
        <w:t xml:space="preserve"> oznámí tuto skutečnost vedoucímu zaměstnanci pro realizaci SCLLD a </w:t>
      </w:r>
      <w:r w:rsidRPr="006E2F8D">
        <w:rPr>
          <w:b/>
        </w:rPr>
        <w:t>na hodnocení se nepo</w:t>
      </w:r>
      <w:bookmarkStart w:id="0" w:name="_GoBack"/>
      <w:bookmarkEnd w:id="0"/>
      <w:r w:rsidRPr="006E2F8D">
        <w:rPr>
          <w:b/>
        </w:rPr>
        <w:t>dílí</w:t>
      </w:r>
      <w:r>
        <w:t xml:space="preserve">, a to ani ostatních projektů, které danému projektu při hodnocení a výběru konkurují. </w:t>
      </w:r>
    </w:p>
    <w:p w:rsidR="00872FDC" w:rsidRDefault="00872FDC" w:rsidP="00872FDC">
      <w:pPr>
        <w:jc w:val="both"/>
      </w:pPr>
      <w:r>
        <w:t xml:space="preserve">5. V případech, kdy je hodnotitel předkladatelem či zpracovatelem žádosti o podporu nebo se na zpracování podílel, nebo ho s předkladatelem či zpracovatelem pojí blízký vztah rodinný, citový či </w:t>
      </w:r>
      <w:r>
        <w:lastRenderedPageBreak/>
        <w:t xml:space="preserve">ekonomický, oznámí tuto skutečnost neprodleně vedoucímu zaměstnanci pro realizaci SCLLD a nebude se žádným způsobem podílet na hodnocení projektu v dané výzvě ani nebude zasahovat do jednání týkajícího se tohoto projektu či jej jakýmkoliv způsobem ovlivňovat. </w:t>
      </w:r>
    </w:p>
    <w:p w:rsidR="00872FDC" w:rsidRDefault="00872FDC" w:rsidP="00872FDC">
      <w:pPr>
        <w:jc w:val="both"/>
      </w:pPr>
    </w:p>
    <w:p w:rsidR="00872FDC" w:rsidRDefault="00872FDC" w:rsidP="00872FDC">
      <w:pPr>
        <w:jc w:val="both"/>
      </w:pPr>
      <w:r>
        <w:rPr>
          <w:b/>
          <w:bCs/>
        </w:rPr>
        <w:t xml:space="preserve">Dary a výhody: </w:t>
      </w:r>
    </w:p>
    <w:p w:rsidR="00872FDC" w:rsidRDefault="00872FDC" w:rsidP="00872FDC">
      <w:pPr>
        <w:jc w:val="both"/>
      </w:pPr>
      <w:r>
        <w:t xml:space="preserve">1. Hodnotitel nevyžaduje ani nepřijímá dary, úsluhy, laskavosti, ani žádná jiná zvýhodnění, která by mohla ovlivnit rozhodování či narušit nestranný přístup. </w:t>
      </w:r>
    </w:p>
    <w:p w:rsidR="00872FDC" w:rsidRDefault="00872FDC" w:rsidP="00872FDC">
      <w:pPr>
        <w:jc w:val="both"/>
      </w:pPr>
      <w:r>
        <w:t xml:space="preserve">2. Hodnotitel nedovolí, aby se v souvislosti se svou činností dostal do postavení, ve kterém je zavázán oplatit prokázanou laskavost, nebo které jej činí přístupným nepatřičnému vlivu jiných osob. </w:t>
      </w:r>
    </w:p>
    <w:p w:rsidR="00872FDC" w:rsidRDefault="00872FDC" w:rsidP="00872FDC">
      <w:pPr>
        <w:jc w:val="both"/>
      </w:pPr>
      <w:r>
        <w:t xml:space="preserve">3. Hodnotitel nenabízí ani neposkytuje žádnou výhodu jakýmkoli způsobem spojenou s jeho činností. </w:t>
      </w:r>
    </w:p>
    <w:p w:rsidR="00872FDC" w:rsidRDefault="00872FDC" w:rsidP="00872FDC">
      <w:pPr>
        <w:jc w:val="both"/>
      </w:pPr>
      <w:r>
        <w:t xml:space="preserve">4. Při výkonu své činnosti hodnotitel neučiní anebo nenavrhne učinit úkony, které by ho zvýhodnily v budoucím osobním nebo profesním životě. </w:t>
      </w:r>
    </w:p>
    <w:p w:rsidR="00872FDC" w:rsidRDefault="00872FDC" w:rsidP="00872FDC">
      <w:pPr>
        <w:jc w:val="both"/>
      </w:pPr>
      <w:r>
        <w:t xml:space="preserve">5. Pokud je hodnotiteli v souvislosti s jeho činností nabídnuta jakákoli výhoda, odmítne ji a o nabídnuté výhodě informuje místní akční skupinu. </w:t>
      </w:r>
    </w:p>
    <w:p w:rsidR="00872FDC" w:rsidRDefault="00872FDC" w:rsidP="00872FDC">
      <w:pPr>
        <w:jc w:val="both"/>
      </w:pPr>
    </w:p>
    <w:tbl>
      <w:tblPr>
        <w:tblStyle w:val="Mkatabulky"/>
        <w:tblW w:w="0" w:type="auto"/>
        <w:tblLook w:val="04A0" w:firstRow="1" w:lastRow="0" w:firstColumn="1" w:lastColumn="0" w:noHBand="0" w:noVBand="1"/>
      </w:tblPr>
      <w:tblGrid>
        <w:gridCol w:w="1948"/>
        <w:gridCol w:w="2138"/>
        <w:gridCol w:w="1992"/>
        <w:gridCol w:w="1605"/>
        <w:gridCol w:w="1605"/>
      </w:tblGrid>
      <w:tr w:rsidR="00872FDC" w:rsidTr="006E2F8D">
        <w:trPr>
          <w:trHeight w:val="907"/>
        </w:trPr>
        <w:tc>
          <w:tcPr>
            <w:tcW w:w="1948" w:type="dxa"/>
            <w:shd w:val="clear" w:color="auto" w:fill="D9D9D9" w:themeFill="background1" w:themeFillShade="D9"/>
            <w:vAlign w:val="center"/>
          </w:tcPr>
          <w:p w:rsidR="00872FDC" w:rsidRPr="006E2F8D" w:rsidRDefault="00872FDC" w:rsidP="006E2F8D">
            <w:pPr>
              <w:jc w:val="center"/>
              <w:rPr>
                <w:b/>
              </w:rPr>
            </w:pPr>
            <w:r w:rsidRPr="006E2F8D">
              <w:rPr>
                <w:b/>
              </w:rPr>
              <w:t>Partner</w:t>
            </w:r>
          </w:p>
        </w:tc>
        <w:tc>
          <w:tcPr>
            <w:tcW w:w="2138" w:type="dxa"/>
            <w:shd w:val="clear" w:color="auto" w:fill="D9D9D9" w:themeFill="background1" w:themeFillShade="D9"/>
            <w:vAlign w:val="center"/>
          </w:tcPr>
          <w:p w:rsidR="00872FDC" w:rsidRPr="006E2F8D" w:rsidRDefault="00872FDC" w:rsidP="006E2F8D">
            <w:pPr>
              <w:jc w:val="center"/>
              <w:rPr>
                <w:b/>
              </w:rPr>
            </w:pPr>
            <w:r w:rsidRPr="006E2F8D">
              <w:rPr>
                <w:b/>
              </w:rPr>
              <w:t>Zájmová skupina</w:t>
            </w:r>
          </w:p>
        </w:tc>
        <w:tc>
          <w:tcPr>
            <w:tcW w:w="1992" w:type="dxa"/>
            <w:shd w:val="clear" w:color="auto" w:fill="D9D9D9" w:themeFill="background1" w:themeFillShade="D9"/>
            <w:vAlign w:val="center"/>
          </w:tcPr>
          <w:p w:rsidR="00872FDC" w:rsidRPr="006E2F8D" w:rsidRDefault="00872FDC" w:rsidP="006E2F8D">
            <w:pPr>
              <w:jc w:val="center"/>
              <w:rPr>
                <w:b/>
              </w:rPr>
            </w:pPr>
            <w:r w:rsidRPr="006E2F8D">
              <w:rPr>
                <w:b/>
              </w:rPr>
              <w:t>Sektor</w:t>
            </w:r>
          </w:p>
        </w:tc>
        <w:tc>
          <w:tcPr>
            <w:tcW w:w="1605" w:type="dxa"/>
            <w:shd w:val="clear" w:color="auto" w:fill="D9D9D9" w:themeFill="background1" w:themeFillShade="D9"/>
            <w:vAlign w:val="center"/>
          </w:tcPr>
          <w:p w:rsidR="00872FDC" w:rsidRPr="006E2F8D" w:rsidRDefault="00872FDC" w:rsidP="006E2F8D">
            <w:pPr>
              <w:jc w:val="center"/>
              <w:rPr>
                <w:b/>
              </w:rPr>
            </w:pPr>
            <w:r w:rsidRPr="006E2F8D">
              <w:rPr>
                <w:b/>
              </w:rPr>
              <w:t>Zástupce</w:t>
            </w:r>
          </w:p>
        </w:tc>
        <w:tc>
          <w:tcPr>
            <w:tcW w:w="1605" w:type="dxa"/>
            <w:shd w:val="clear" w:color="auto" w:fill="D9D9D9" w:themeFill="background1" w:themeFillShade="D9"/>
            <w:vAlign w:val="center"/>
          </w:tcPr>
          <w:p w:rsidR="00872FDC" w:rsidRPr="006E2F8D" w:rsidRDefault="00872FDC" w:rsidP="006E2F8D">
            <w:pPr>
              <w:jc w:val="center"/>
              <w:rPr>
                <w:b/>
              </w:rPr>
            </w:pPr>
            <w:r w:rsidRPr="006E2F8D">
              <w:rPr>
                <w:b/>
              </w:rPr>
              <w:t>Podpis</w:t>
            </w:r>
          </w:p>
        </w:tc>
      </w:tr>
      <w:tr w:rsidR="00872FDC" w:rsidTr="006E2F8D">
        <w:trPr>
          <w:trHeight w:val="907"/>
        </w:trPr>
        <w:tc>
          <w:tcPr>
            <w:tcW w:w="1948" w:type="dxa"/>
          </w:tcPr>
          <w:p w:rsidR="00872FDC" w:rsidRDefault="00872FDC" w:rsidP="00872FDC">
            <w:pPr>
              <w:jc w:val="both"/>
            </w:pPr>
          </w:p>
        </w:tc>
        <w:tc>
          <w:tcPr>
            <w:tcW w:w="2138" w:type="dxa"/>
          </w:tcPr>
          <w:p w:rsidR="00872FDC" w:rsidRDefault="00872FDC" w:rsidP="00872FDC">
            <w:pPr>
              <w:jc w:val="both"/>
            </w:pPr>
          </w:p>
        </w:tc>
        <w:tc>
          <w:tcPr>
            <w:tcW w:w="1992" w:type="dxa"/>
          </w:tcPr>
          <w:p w:rsidR="00872FDC" w:rsidRDefault="00872FDC" w:rsidP="00872FDC">
            <w:pPr>
              <w:jc w:val="both"/>
            </w:pPr>
          </w:p>
        </w:tc>
        <w:tc>
          <w:tcPr>
            <w:tcW w:w="1605" w:type="dxa"/>
          </w:tcPr>
          <w:p w:rsidR="00872FDC" w:rsidRDefault="00872FDC" w:rsidP="00872FDC">
            <w:pPr>
              <w:jc w:val="both"/>
            </w:pPr>
          </w:p>
        </w:tc>
        <w:tc>
          <w:tcPr>
            <w:tcW w:w="1605" w:type="dxa"/>
          </w:tcPr>
          <w:p w:rsidR="00872FDC" w:rsidRDefault="00872FDC" w:rsidP="00872FDC">
            <w:pPr>
              <w:jc w:val="both"/>
            </w:pPr>
          </w:p>
        </w:tc>
      </w:tr>
      <w:tr w:rsidR="00872FDC" w:rsidTr="006E2F8D">
        <w:trPr>
          <w:trHeight w:val="907"/>
        </w:trPr>
        <w:tc>
          <w:tcPr>
            <w:tcW w:w="1948" w:type="dxa"/>
          </w:tcPr>
          <w:p w:rsidR="00872FDC" w:rsidRDefault="00872FDC" w:rsidP="00872FDC">
            <w:pPr>
              <w:jc w:val="both"/>
            </w:pPr>
          </w:p>
        </w:tc>
        <w:tc>
          <w:tcPr>
            <w:tcW w:w="2138" w:type="dxa"/>
          </w:tcPr>
          <w:p w:rsidR="00872FDC" w:rsidRDefault="00872FDC" w:rsidP="00872FDC">
            <w:pPr>
              <w:jc w:val="both"/>
            </w:pPr>
          </w:p>
        </w:tc>
        <w:tc>
          <w:tcPr>
            <w:tcW w:w="1992" w:type="dxa"/>
          </w:tcPr>
          <w:p w:rsidR="00872FDC" w:rsidRDefault="00872FDC" w:rsidP="00872FDC">
            <w:pPr>
              <w:jc w:val="both"/>
            </w:pPr>
          </w:p>
        </w:tc>
        <w:tc>
          <w:tcPr>
            <w:tcW w:w="1605" w:type="dxa"/>
          </w:tcPr>
          <w:p w:rsidR="00872FDC" w:rsidRDefault="00872FDC" w:rsidP="00872FDC">
            <w:pPr>
              <w:jc w:val="both"/>
            </w:pPr>
          </w:p>
        </w:tc>
        <w:tc>
          <w:tcPr>
            <w:tcW w:w="1605" w:type="dxa"/>
          </w:tcPr>
          <w:p w:rsidR="00872FDC" w:rsidRDefault="00872FDC" w:rsidP="00872FDC">
            <w:pPr>
              <w:jc w:val="both"/>
            </w:pPr>
          </w:p>
        </w:tc>
      </w:tr>
      <w:tr w:rsidR="00872FDC" w:rsidTr="006E2F8D">
        <w:trPr>
          <w:trHeight w:val="907"/>
        </w:trPr>
        <w:tc>
          <w:tcPr>
            <w:tcW w:w="1948" w:type="dxa"/>
          </w:tcPr>
          <w:p w:rsidR="00872FDC" w:rsidRDefault="00872FDC" w:rsidP="00872FDC">
            <w:pPr>
              <w:jc w:val="both"/>
            </w:pPr>
          </w:p>
        </w:tc>
        <w:tc>
          <w:tcPr>
            <w:tcW w:w="2138" w:type="dxa"/>
          </w:tcPr>
          <w:p w:rsidR="00872FDC" w:rsidRDefault="00872FDC" w:rsidP="00872FDC">
            <w:pPr>
              <w:jc w:val="both"/>
            </w:pPr>
          </w:p>
        </w:tc>
        <w:tc>
          <w:tcPr>
            <w:tcW w:w="1992" w:type="dxa"/>
          </w:tcPr>
          <w:p w:rsidR="00872FDC" w:rsidRDefault="00872FDC" w:rsidP="00872FDC">
            <w:pPr>
              <w:jc w:val="both"/>
            </w:pPr>
          </w:p>
        </w:tc>
        <w:tc>
          <w:tcPr>
            <w:tcW w:w="1605" w:type="dxa"/>
          </w:tcPr>
          <w:p w:rsidR="00872FDC" w:rsidRDefault="00872FDC" w:rsidP="00872FDC">
            <w:pPr>
              <w:jc w:val="both"/>
            </w:pPr>
          </w:p>
        </w:tc>
        <w:tc>
          <w:tcPr>
            <w:tcW w:w="1605" w:type="dxa"/>
          </w:tcPr>
          <w:p w:rsidR="00872FDC" w:rsidRDefault="00872FDC" w:rsidP="00872FDC">
            <w:pPr>
              <w:jc w:val="both"/>
            </w:pPr>
          </w:p>
        </w:tc>
      </w:tr>
      <w:tr w:rsidR="00872FDC" w:rsidTr="006E2F8D">
        <w:trPr>
          <w:trHeight w:val="907"/>
        </w:trPr>
        <w:tc>
          <w:tcPr>
            <w:tcW w:w="1948" w:type="dxa"/>
          </w:tcPr>
          <w:p w:rsidR="00872FDC" w:rsidRDefault="00872FDC" w:rsidP="00872FDC">
            <w:pPr>
              <w:jc w:val="both"/>
            </w:pPr>
          </w:p>
        </w:tc>
        <w:tc>
          <w:tcPr>
            <w:tcW w:w="2138" w:type="dxa"/>
          </w:tcPr>
          <w:p w:rsidR="00872FDC" w:rsidRDefault="00872FDC" w:rsidP="00872FDC">
            <w:pPr>
              <w:jc w:val="both"/>
            </w:pPr>
          </w:p>
        </w:tc>
        <w:tc>
          <w:tcPr>
            <w:tcW w:w="1992" w:type="dxa"/>
          </w:tcPr>
          <w:p w:rsidR="00872FDC" w:rsidRDefault="00872FDC" w:rsidP="00872FDC">
            <w:pPr>
              <w:jc w:val="both"/>
            </w:pPr>
          </w:p>
        </w:tc>
        <w:tc>
          <w:tcPr>
            <w:tcW w:w="1605" w:type="dxa"/>
          </w:tcPr>
          <w:p w:rsidR="00872FDC" w:rsidRDefault="00872FDC" w:rsidP="00872FDC">
            <w:pPr>
              <w:jc w:val="both"/>
            </w:pPr>
          </w:p>
        </w:tc>
        <w:tc>
          <w:tcPr>
            <w:tcW w:w="1605" w:type="dxa"/>
          </w:tcPr>
          <w:p w:rsidR="00872FDC" w:rsidRDefault="00872FDC" w:rsidP="00872FDC">
            <w:pPr>
              <w:jc w:val="both"/>
            </w:pPr>
          </w:p>
        </w:tc>
      </w:tr>
      <w:tr w:rsidR="00872FDC" w:rsidTr="006E2F8D">
        <w:trPr>
          <w:trHeight w:val="907"/>
        </w:trPr>
        <w:tc>
          <w:tcPr>
            <w:tcW w:w="1948" w:type="dxa"/>
          </w:tcPr>
          <w:p w:rsidR="00872FDC" w:rsidRDefault="00872FDC" w:rsidP="00872FDC">
            <w:pPr>
              <w:jc w:val="both"/>
            </w:pPr>
          </w:p>
        </w:tc>
        <w:tc>
          <w:tcPr>
            <w:tcW w:w="2138" w:type="dxa"/>
          </w:tcPr>
          <w:p w:rsidR="00872FDC" w:rsidRDefault="00872FDC" w:rsidP="00872FDC">
            <w:pPr>
              <w:jc w:val="both"/>
            </w:pPr>
          </w:p>
        </w:tc>
        <w:tc>
          <w:tcPr>
            <w:tcW w:w="1992" w:type="dxa"/>
          </w:tcPr>
          <w:p w:rsidR="00872FDC" w:rsidRDefault="00872FDC" w:rsidP="00872FDC">
            <w:pPr>
              <w:jc w:val="both"/>
            </w:pPr>
          </w:p>
        </w:tc>
        <w:tc>
          <w:tcPr>
            <w:tcW w:w="1605" w:type="dxa"/>
          </w:tcPr>
          <w:p w:rsidR="00872FDC" w:rsidRDefault="00872FDC" w:rsidP="00872FDC">
            <w:pPr>
              <w:jc w:val="both"/>
            </w:pPr>
          </w:p>
        </w:tc>
        <w:tc>
          <w:tcPr>
            <w:tcW w:w="1605" w:type="dxa"/>
          </w:tcPr>
          <w:p w:rsidR="00872FDC" w:rsidRDefault="00872FDC" w:rsidP="00872FDC">
            <w:pPr>
              <w:jc w:val="both"/>
            </w:pPr>
          </w:p>
        </w:tc>
      </w:tr>
    </w:tbl>
    <w:p w:rsidR="00872FDC" w:rsidRDefault="00872FDC" w:rsidP="00872FDC">
      <w:pPr>
        <w:jc w:val="both"/>
      </w:pPr>
    </w:p>
    <w:sectPr w:rsidR="00872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FDC" w:rsidRDefault="00872FDC" w:rsidP="00872FDC">
      <w:pPr>
        <w:spacing w:after="0" w:line="240" w:lineRule="auto"/>
      </w:pPr>
      <w:r>
        <w:separator/>
      </w:r>
    </w:p>
  </w:endnote>
  <w:endnote w:type="continuationSeparator" w:id="0">
    <w:p w:rsidR="00872FDC" w:rsidRDefault="00872FDC" w:rsidP="0087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FDC" w:rsidRDefault="00872FDC" w:rsidP="00872FDC">
      <w:pPr>
        <w:spacing w:after="0" w:line="240" w:lineRule="auto"/>
      </w:pPr>
      <w:r>
        <w:separator/>
      </w:r>
    </w:p>
  </w:footnote>
  <w:footnote w:type="continuationSeparator" w:id="0">
    <w:p w:rsidR="00872FDC" w:rsidRDefault="00872FDC" w:rsidP="00872FDC">
      <w:pPr>
        <w:spacing w:after="0" w:line="240" w:lineRule="auto"/>
      </w:pPr>
      <w:r>
        <w:continuationSeparator/>
      </w:r>
    </w:p>
  </w:footnote>
  <w:footnote w:id="1">
    <w:p w:rsidR="00872FDC" w:rsidRDefault="00872FDC" w:rsidP="00872FDC">
      <w:pPr>
        <w:pStyle w:val="Textpoznpodarou"/>
      </w:pPr>
      <w:r>
        <w:rPr>
          <w:rStyle w:val="Znakapoznpodarou"/>
        </w:rPr>
        <w:footnoteRef/>
      </w:r>
      <w:r>
        <w:t xml:space="preserve"> Veškeré osoby podílející se na hodnocení či výběru jsou pro účely etického kodexu uváděni jako hodnotitelé.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F4831"/>
    <w:multiLevelType w:val="hybridMultilevel"/>
    <w:tmpl w:val="797C1B9C"/>
    <w:lvl w:ilvl="0" w:tplc="E43C75D2">
      <w:start w:val="2"/>
      <w:numFmt w:val="bullet"/>
      <w:lvlText w:val="-"/>
      <w:lvlJc w:val="left"/>
      <w:pPr>
        <w:ind w:left="720" w:hanging="360"/>
      </w:pPr>
      <w:rPr>
        <w:rFonts w:ascii="Cambria" w:eastAsiaTheme="majorEastAsia" w:hAnsi="Cambria"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DC"/>
    <w:rsid w:val="006E2F8D"/>
    <w:rsid w:val="00872FDC"/>
    <w:rsid w:val="009C4E83"/>
    <w:rsid w:val="00A90C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FDC"/>
    <w:rPr>
      <w:rFonts w:ascii="Calibri" w:eastAsia="Calibri" w:hAnsi="Calibri" w:cs="Times New Roman"/>
    </w:rPr>
  </w:style>
  <w:style w:type="paragraph" w:styleId="Nadpis2">
    <w:name w:val="heading 2"/>
    <w:basedOn w:val="Normln"/>
    <w:next w:val="Normln"/>
    <w:link w:val="Nadpis2Char"/>
    <w:uiPriority w:val="9"/>
    <w:unhideWhenUsed/>
    <w:qFormat/>
    <w:rsid w:val="00872F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72FDC"/>
    <w:pPr>
      <w:autoSpaceDE w:val="0"/>
      <w:autoSpaceDN w:val="0"/>
      <w:adjustRightInd w:val="0"/>
      <w:spacing w:after="0" w:line="240" w:lineRule="auto"/>
    </w:pPr>
    <w:rPr>
      <w:rFonts w:ascii="Calibri" w:hAnsi="Calibri" w:cs="Calibri"/>
      <w:color w:val="000000"/>
      <w:sz w:val="24"/>
      <w:szCs w:val="24"/>
    </w:rPr>
  </w:style>
  <w:style w:type="paragraph" w:styleId="Nzev">
    <w:name w:val="Title"/>
    <w:basedOn w:val="Normln"/>
    <w:next w:val="Normln"/>
    <w:link w:val="NzevChar"/>
    <w:uiPriority w:val="10"/>
    <w:qFormat/>
    <w:rsid w:val="00872FD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basedOn w:val="Standardnpsmoodstavce"/>
    <w:link w:val="Nzev"/>
    <w:uiPriority w:val="10"/>
    <w:rsid w:val="00872FDC"/>
    <w:rPr>
      <w:rFonts w:ascii="Cambria" w:eastAsia="Times New Roman" w:hAnsi="Cambria" w:cs="Times New Roman"/>
      <w:color w:val="17365D"/>
      <w:spacing w:val="5"/>
      <w:kern w:val="28"/>
      <w:sz w:val="52"/>
      <w:szCs w:val="52"/>
    </w:rPr>
  </w:style>
  <w:style w:type="character" w:customStyle="1" w:styleId="Nadpis2Char">
    <w:name w:val="Nadpis 2 Char"/>
    <w:basedOn w:val="Standardnpsmoodstavce"/>
    <w:link w:val="Nadpis2"/>
    <w:uiPriority w:val="9"/>
    <w:rsid w:val="00872FDC"/>
    <w:rPr>
      <w:rFonts w:asciiTheme="majorHAnsi" w:eastAsiaTheme="majorEastAsia" w:hAnsiTheme="majorHAnsi" w:cstheme="majorBidi"/>
      <w:b/>
      <w:bCs/>
      <w:color w:val="4F81BD" w:themeColor="accent1"/>
      <w:sz w:val="26"/>
      <w:szCs w:val="26"/>
    </w:rPr>
  </w:style>
  <w:style w:type="paragraph" w:styleId="Textpoznpodarou">
    <w:name w:val="footnote text"/>
    <w:basedOn w:val="Normln"/>
    <w:link w:val="TextpoznpodarouChar"/>
    <w:uiPriority w:val="99"/>
    <w:semiHidden/>
    <w:unhideWhenUsed/>
    <w:rsid w:val="00872FD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72FDC"/>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872FDC"/>
    <w:rPr>
      <w:vertAlign w:val="superscript"/>
    </w:rPr>
  </w:style>
  <w:style w:type="table" w:styleId="Mkatabulky">
    <w:name w:val="Table Grid"/>
    <w:basedOn w:val="Normlntabulka"/>
    <w:uiPriority w:val="59"/>
    <w:rsid w:val="0087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5">
    <w:name w:val="Light Shading Accent 5"/>
    <w:basedOn w:val="Normlntabulka"/>
    <w:uiPriority w:val="60"/>
    <w:rsid w:val="006E2F8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FDC"/>
    <w:rPr>
      <w:rFonts w:ascii="Calibri" w:eastAsia="Calibri" w:hAnsi="Calibri" w:cs="Times New Roman"/>
    </w:rPr>
  </w:style>
  <w:style w:type="paragraph" w:styleId="Nadpis2">
    <w:name w:val="heading 2"/>
    <w:basedOn w:val="Normln"/>
    <w:next w:val="Normln"/>
    <w:link w:val="Nadpis2Char"/>
    <w:uiPriority w:val="9"/>
    <w:unhideWhenUsed/>
    <w:qFormat/>
    <w:rsid w:val="00872F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72FDC"/>
    <w:pPr>
      <w:autoSpaceDE w:val="0"/>
      <w:autoSpaceDN w:val="0"/>
      <w:adjustRightInd w:val="0"/>
      <w:spacing w:after="0" w:line="240" w:lineRule="auto"/>
    </w:pPr>
    <w:rPr>
      <w:rFonts w:ascii="Calibri" w:hAnsi="Calibri" w:cs="Calibri"/>
      <w:color w:val="000000"/>
      <w:sz w:val="24"/>
      <w:szCs w:val="24"/>
    </w:rPr>
  </w:style>
  <w:style w:type="paragraph" w:styleId="Nzev">
    <w:name w:val="Title"/>
    <w:basedOn w:val="Normln"/>
    <w:next w:val="Normln"/>
    <w:link w:val="NzevChar"/>
    <w:uiPriority w:val="10"/>
    <w:qFormat/>
    <w:rsid w:val="00872FD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basedOn w:val="Standardnpsmoodstavce"/>
    <w:link w:val="Nzev"/>
    <w:uiPriority w:val="10"/>
    <w:rsid w:val="00872FDC"/>
    <w:rPr>
      <w:rFonts w:ascii="Cambria" w:eastAsia="Times New Roman" w:hAnsi="Cambria" w:cs="Times New Roman"/>
      <w:color w:val="17365D"/>
      <w:spacing w:val="5"/>
      <w:kern w:val="28"/>
      <w:sz w:val="52"/>
      <w:szCs w:val="52"/>
    </w:rPr>
  </w:style>
  <w:style w:type="character" w:customStyle="1" w:styleId="Nadpis2Char">
    <w:name w:val="Nadpis 2 Char"/>
    <w:basedOn w:val="Standardnpsmoodstavce"/>
    <w:link w:val="Nadpis2"/>
    <w:uiPriority w:val="9"/>
    <w:rsid w:val="00872FDC"/>
    <w:rPr>
      <w:rFonts w:asciiTheme="majorHAnsi" w:eastAsiaTheme="majorEastAsia" w:hAnsiTheme="majorHAnsi" w:cstheme="majorBidi"/>
      <w:b/>
      <w:bCs/>
      <w:color w:val="4F81BD" w:themeColor="accent1"/>
      <w:sz w:val="26"/>
      <w:szCs w:val="26"/>
    </w:rPr>
  </w:style>
  <w:style w:type="paragraph" w:styleId="Textpoznpodarou">
    <w:name w:val="footnote text"/>
    <w:basedOn w:val="Normln"/>
    <w:link w:val="TextpoznpodarouChar"/>
    <w:uiPriority w:val="99"/>
    <w:semiHidden/>
    <w:unhideWhenUsed/>
    <w:rsid w:val="00872FD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72FDC"/>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872FDC"/>
    <w:rPr>
      <w:vertAlign w:val="superscript"/>
    </w:rPr>
  </w:style>
  <w:style w:type="table" w:styleId="Mkatabulky">
    <w:name w:val="Table Grid"/>
    <w:basedOn w:val="Normlntabulka"/>
    <w:uiPriority w:val="59"/>
    <w:rsid w:val="0087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5">
    <w:name w:val="Light Shading Accent 5"/>
    <w:basedOn w:val="Normlntabulka"/>
    <w:uiPriority w:val="60"/>
    <w:rsid w:val="006E2F8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A6D9-D999-4A06-96B2-E681097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500</Words>
  <Characters>2954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Kudrna</dc:creator>
  <cp:lastModifiedBy>Kudrna</cp:lastModifiedBy>
  <cp:revision>1</cp:revision>
  <dcterms:created xsi:type="dcterms:W3CDTF">2019-04-11T08:14:00Z</dcterms:created>
  <dcterms:modified xsi:type="dcterms:W3CDTF">2019-04-11T08:37:00Z</dcterms:modified>
</cp:coreProperties>
</file>